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38603A" w:rsidRPr="007C6B5B" w:rsidTr="00D6573F">
        <w:trPr>
          <w:jc w:val="center"/>
        </w:trPr>
        <w:tc>
          <w:tcPr>
            <w:tcW w:w="8364" w:type="dxa"/>
            <w:shd w:val="clear" w:color="auto" w:fill="auto"/>
            <w:vAlign w:val="center"/>
          </w:tcPr>
          <w:p w:rsidR="0038603A" w:rsidRPr="007C6B5B" w:rsidRDefault="0038603A" w:rsidP="00D6573F">
            <w:pPr>
              <w:snapToGrid w:val="0"/>
              <w:jc w:val="distribute"/>
              <w:rPr>
                <w:rFonts w:hint="eastAsia"/>
                <w:w w:val="80"/>
                <w:sz w:val="112"/>
                <w:szCs w:val="112"/>
              </w:rPr>
            </w:pPr>
            <w:r w:rsidRPr="007C6B5B">
              <w:rPr>
                <w:rFonts w:eastAsia="方正小标宋简体" w:hint="eastAsia"/>
                <w:color w:val="FF0000"/>
                <w:w w:val="80"/>
                <w:sz w:val="112"/>
                <w:szCs w:val="112"/>
              </w:rPr>
              <w:t>湖南省教育厅</w:t>
            </w:r>
          </w:p>
        </w:tc>
      </w:tr>
    </w:tbl>
    <w:p w:rsidR="0038603A" w:rsidRPr="000F493B" w:rsidRDefault="0038603A" w:rsidP="0038603A">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-50800</wp:posOffset>
                </wp:positionV>
                <wp:extent cx="5974080" cy="0"/>
                <wp:effectExtent l="28575" t="34925" r="36195" b="317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C973"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mc:Fallback>
        </mc:AlternateContent>
      </w:r>
    </w:p>
    <w:p w:rsidR="0038603A" w:rsidRPr="0038603A" w:rsidRDefault="0038603A" w:rsidP="0038603A">
      <w:pPr>
        <w:contextualSpacing/>
        <w:jc w:val="right"/>
        <w:rPr>
          <w:rFonts w:ascii="仿宋_GB2312" w:eastAsia="仿宋_GB2312" w:hint="eastAsia"/>
          <w:sz w:val="32"/>
          <w:szCs w:val="32"/>
        </w:rPr>
      </w:pPr>
      <w:proofErr w:type="gramStart"/>
      <w:r w:rsidRPr="0038603A">
        <w:rPr>
          <w:rFonts w:ascii="仿宋_GB2312" w:eastAsia="仿宋_GB2312" w:hint="eastAsia"/>
          <w:sz w:val="32"/>
          <w:szCs w:val="32"/>
        </w:rPr>
        <w:t>湘教通</w:t>
      </w:r>
      <w:proofErr w:type="gramEnd"/>
      <w:r w:rsidRPr="0038603A">
        <w:rPr>
          <w:rFonts w:ascii="仿宋_GB2312" w:eastAsia="仿宋_GB2312" w:hint="eastAsia"/>
          <w:sz w:val="32"/>
          <w:szCs w:val="32"/>
        </w:rPr>
        <w:t>〔2018〕161号</w:t>
      </w:r>
    </w:p>
    <w:p w:rsidR="0038603A" w:rsidRPr="0038603A" w:rsidRDefault="0038603A" w:rsidP="0038603A">
      <w:pPr>
        <w:contextualSpacing/>
        <w:rPr>
          <w:rFonts w:ascii="仿宋_GB2312" w:eastAsia="仿宋_GB2312" w:hint="eastAsia"/>
          <w:sz w:val="32"/>
          <w:szCs w:val="32"/>
        </w:rPr>
      </w:pPr>
    </w:p>
    <w:p w:rsidR="0038603A" w:rsidRPr="0038603A" w:rsidRDefault="0038603A" w:rsidP="0038603A">
      <w:pPr>
        <w:spacing w:line="600" w:lineRule="exact"/>
        <w:contextualSpacing/>
        <w:jc w:val="center"/>
        <w:rPr>
          <w:rFonts w:ascii="方正小标宋简体" w:eastAsia="方正小标宋简体" w:hint="eastAsia"/>
          <w:sz w:val="44"/>
          <w:szCs w:val="44"/>
        </w:rPr>
      </w:pPr>
      <w:r w:rsidRPr="0038603A">
        <w:rPr>
          <w:rFonts w:ascii="方正小标宋简体" w:eastAsia="方正小标宋简体" w:hint="eastAsia"/>
          <w:sz w:val="44"/>
          <w:szCs w:val="44"/>
        </w:rPr>
        <w:t>关于开展2018年全省普通高校教师</w:t>
      </w:r>
    </w:p>
    <w:p w:rsidR="0038603A" w:rsidRPr="0038603A" w:rsidRDefault="0038603A" w:rsidP="0038603A">
      <w:pPr>
        <w:spacing w:line="600" w:lineRule="exact"/>
        <w:contextualSpacing/>
        <w:jc w:val="center"/>
        <w:rPr>
          <w:rFonts w:ascii="方正小标宋简体" w:eastAsia="方正小标宋简体" w:hint="eastAsia"/>
          <w:sz w:val="44"/>
          <w:szCs w:val="44"/>
        </w:rPr>
      </w:pPr>
      <w:r w:rsidRPr="0038603A">
        <w:rPr>
          <w:rFonts w:ascii="方正小标宋简体" w:eastAsia="方正小标宋简体" w:hint="eastAsia"/>
          <w:sz w:val="44"/>
          <w:szCs w:val="44"/>
        </w:rPr>
        <w:t>信息化教学竞赛的通知</w:t>
      </w:r>
    </w:p>
    <w:p w:rsidR="0038603A" w:rsidRPr="0038603A" w:rsidRDefault="0038603A" w:rsidP="0038603A">
      <w:pPr>
        <w:shd w:val="clear" w:color="auto" w:fill="FFFFFF"/>
        <w:ind w:firstLineChars="200" w:firstLine="603"/>
        <w:contextualSpacing/>
        <w:rPr>
          <w:rFonts w:ascii="仿宋_GB2312" w:eastAsia="仿宋_GB2312" w:hint="eastAsia"/>
          <w:color w:val="000000"/>
          <w:kern w:val="0"/>
          <w:sz w:val="32"/>
          <w:szCs w:val="32"/>
        </w:rPr>
      </w:pPr>
      <w:r w:rsidRPr="0038603A">
        <w:rPr>
          <w:rFonts w:ascii="仿宋_GB2312" w:eastAsia="仿宋_GB2312" w:hint="eastAsia"/>
          <w:color w:val="000000"/>
          <w:kern w:val="0"/>
          <w:sz w:val="32"/>
          <w:szCs w:val="32"/>
        </w:rPr>
        <w:t xml:space="preserve"> </w:t>
      </w:r>
    </w:p>
    <w:p w:rsidR="0038603A" w:rsidRPr="0038603A" w:rsidRDefault="0038603A" w:rsidP="0038603A">
      <w:pPr>
        <w:contextualSpacing/>
        <w:rPr>
          <w:rFonts w:ascii="仿宋_GB2312" w:eastAsia="仿宋_GB2312" w:hint="eastAsia"/>
          <w:sz w:val="32"/>
          <w:szCs w:val="32"/>
        </w:rPr>
      </w:pPr>
      <w:r w:rsidRPr="0038603A">
        <w:rPr>
          <w:rFonts w:ascii="仿宋_GB2312" w:eastAsia="仿宋_GB2312" w:hint="eastAsia"/>
          <w:sz w:val="32"/>
          <w:szCs w:val="32"/>
        </w:rPr>
        <w:t>各普通本科学校：</w:t>
      </w:r>
    </w:p>
    <w:p w:rsidR="0038603A" w:rsidRPr="0038603A" w:rsidRDefault="0038603A" w:rsidP="0038603A">
      <w:pPr>
        <w:shd w:val="clear" w:color="auto" w:fill="FFFFFF"/>
        <w:ind w:firstLineChars="200" w:firstLine="603"/>
        <w:contextualSpacing/>
        <w:rPr>
          <w:rFonts w:ascii="仿宋_GB2312" w:eastAsia="仿宋_GB2312" w:hint="eastAsia"/>
          <w:color w:val="000000"/>
          <w:kern w:val="0"/>
          <w:sz w:val="32"/>
          <w:szCs w:val="32"/>
        </w:rPr>
      </w:pPr>
      <w:r w:rsidRPr="0038603A">
        <w:rPr>
          <w:rFonts w:ascii="仿宋_GB2312" w:eastAsia="仿宋_GB2312" w:hint="eastAsia"/>
          <w:color w:val="000000"/>
          <w:kern w:val="0"/>
          <w:sz w:val="32"/>
          <w:szCs w:val="32"/>
        </w:rPr>
        <w:t>为深入贯彻落实党的十九大精神和《中共中央国务院关于全面深化新时代教师队伍建设改革的意见》，进一步激励和引导教师主动适应信息化、人工智能等新技术变革，积极有效开展教育教学，不断提高课程育人能力，推动高等教育内涵式发展，提高高等教育现代化水平，我厅组织修订了《湖南省普通高校教师信息化教学竞赛章程》，并就2018年全省普通高校教师信息化教学竞赛的有关事项通知如下：</w:t>
      </w:r>
    </w:p>
    <w:p w:rsidR="0038603A" w:rsidRPr="0038603A" w:rsidRDefault="0011017B" w:rsidP="0011017B">
      <w:pPr>
        <w:shd w:val="clear" w:color="auto" w:fill="FFFFFF"/>
        <w:ind w:firstLineChars="300" w:firstLine="575"/>
        <w:contextualSpacing/>
        <w:rPr>
          <w:rFonts w:ascii="仿宋_GB2312" w:eastAsia="仿宋_GB2312" w:hint="eastAsia"/>
          <w:color w:val="000000"/>
          <w:kern w:val="0"/>
          <w:sz w:val="32"/>
          <w:szCs w:val="32"/>
        </w:rPr>
      </w:pPr>
      <w:r>
        <w:rPr>
          <w:rFonts w:hint="eastAsia"/>
          <w:noProof/>
        </w:rPr>
        <mc:AlternateContent>
          <mc:Choice Requires="wps">
            <w:drawing>
              <wp:anchor distT="0" distB="0" distL="114300" distR="114300" simplePos="0" relativeHeight="251661312" behindDoc="0" locked="0" layoutInCell="1" allowOverlap="1" wp14:anchorId="75346015" wp14:editId="75570993">
                <wp:simplePos x="0" y="0"/>
                <wp:positionH relativeFrom="margin">
                  <wp:align>center</wp:align>
                </wp:positionH>
                <wp:positionV relativeFrom="paragraph">
                  <wp:posOffset>2138269</wp:posOffset>
                </wp:positionV>
                <wp:extent cx="5974080" cy="0"/>
                <wp:effectExtent l="0" t="19050" r="45720"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69A39" id="直接连接符 3"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35pt" to="470.4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" strokecolor="red" strokeweight="4.5pt">
                <v:stroke linestyle="thinThick"/>
                <w10:wrap anchorx="margin"/>
              </v:line>
            </w:pict>
          </mc:Fallback>
        </mc:AlternateContent>
      </w:r>
      <w:r w:rsidR="0038603A" w:rsidRPr="0038603A">
        <w:rPr>
          <w:rFonts w:ascii="仿宋_GB2312" w:eastAsia="仿宋_GB2312" w:hint="eastAsia"/>
          <w:color w:val="000000"/>
          <w:kern w:val="0"/>
          <w:sz w:val="32"/>
          <w:szCs w:val="32"/>
        </w:rPr>
        <w:t>一、各高校要适应新时代人才培养需要，以信息化教学竞赛为抓手，大力推动教师教学能力提升和信息化教学条件设施建设，不断深化信息化教学研究与改革，完善信息化教学及管理体系，充分发挥现代信息技术在增强课堂教学效果，提高人才培养质量方面的积极作用。</w:t>
      </w:r>
    </w:p>
    <w:p w:rsidR="0038603A" w:rsidRPr="0038603A" w:rsidRDefault="0038603A" w:rsidP="0038603A">
      <w:pPr>
        <w:ind w:firstLineChars="200" w:firstLine="603"/>
        <w:contextualSpacing/>
        <w:rPr>
          <w:rFonts w:ascii="仿宋_GB2312" w:eastAsia="仿宋_GB2312" w:hint="eastAsia"/>
          <w:color w:val="000000"/>
          <w:sz w:val="32"/>
          <w:szCs w:val="32"/>
        </w:rPr>
      </w:pPr>
      <w:r w:rsidRPr="0038603A">
        <w:rPr>
          <w:rFonts w:ascii="仿宋_GB2312" w:eastAsia="仿宋_GB2312" w:hint="eastAsia"/>
          <w:color w:val="000000"/>
          <w:sz w:val="32"/>
          <w:szCs w:val="32"/>
        </w:rPr>
        <w:lastRenderedPageBreak/>
        <w:t>二、各高校要按照竞赛章程（见附件1）要求和组委会具体安排，积极动员和组织广大教师参赛，在校内初赛基础上根据名额（附件2）推荐教师参加省级竞赛。凡未组织校内竞赛活动的，一律不受理该校教师参加省级竞赛。</w:t>
      </w:r>
    </w:p>
    <w:p w:rsidR="0038603A" w:rsidRPr="0038603A" w:rsidRDefault="0038603A" w:rsidP="0038603A">
      <w:pPr>
        <w:ind w:firstLineChars="200" w:firstLine="603"/>
        <w:contextualSpacing/>
        <w:rPr>
          <w:rFonts w:ascii="仿宋_GB2312" w:eastAsia="仿宋_GB2312" w:hint="eastAsia"/>
          <w:color w:val="000000"/>
          <w:sz w:val="32"/>
          <w:szCs w:val="32"/>
        </w:rPr>
      </w:pPr>
      <w:r w:rsidRPr="0038603A">
        <w:rPr>
          <w:rFonts w:ascii="仿宋_GB2312" w:eastAsia="仿宋_GB2312" w:hint="eastAsia"/>
          <w:color w:val="000000"/>
          <w:sz w:val="32"/>
          <w:szCs w:val="32"/>
        </w:rPr>
        <w:t>三、各高校应将教师教学竞赛获奖及其他相关教学成果情况纳入职务评聘、教学考核、表彰奖励的重要依据，逐步建立和完善信息化教学的激励机制，充分发挥优秀教师的传帮带作用，全面提高教师的信息化教学能力。</w:t>
      </w:r>
    </w:p>
    <w:p w:rsidR="0038603A" w:rsidRDefault="0038603A" w:rsidP="0038603A">
      <w:pPr>
        <w:ind w:firstLineChars="200" w:firstLine="603"/>
        <w:contextualSpacing/>
        <w:rPr>
          <w:rFonts w:ascii="仿宋_GB2312" w:eastAsia="仿宋_GB2312"/>
          <w:color w:val="000000"/>
          <w:sz w:val="32"/>
          <w:szCs w:val="32"/>
        </w:rPr>
      </w:pPr>
      <w:r w:rsidRPr="0038603A">
        <w:rPr>
          <w:rFonts w:ascii="仿宋_GB2312" w:eastAsia="仿宋_GB2312" w:hint="eastAsia"/>
          <w:color w:val="000000"/>
          <w:sz w:val="32"/>
          <w:szCs w:val="32"/>
        </w:rPr>
        <w:t>四、信息化教学竞赛的其他具体事项和竞赛日程安排等，由竞赛组委会办公室（设在湖南省高等教育学会教育技术专业委员会秘书处）另行通知，同时通过教育技术专业委员会网站（http://www.hneta.cn/）及时发布。</w:t>
      </w:r>
    </w:p>
    <w:p w:rsidR="002D49D4" w:rsidRPr="002D49D4" w:rsidRDefault="002D49D4" w:rsidP="002D49D4">
      <w:pPr>
        <w:contextualSpacing/>
        <w:rPr>
          <w:rFonts w:ascii="仿宋_GB2312" w:eastAsia="仿宋_GB2312" w:hint="eastAsia"/>
          <w:color w:val="000000"/>
          <w:sz w:val="32"/>
          <w:szCs w:val="32"/>
        </w:rPr>
      </w:pPr>
    </w:p>
    <w:p w:rsidR="002D49D4" w:rsidRPr="002D49D4" w:rsidRDefault="002D49D4" w:rsidP="002D49D4">
      <w:pPr>
        <w:ind w:firstLineChars="200" w:firstLine="603"/>
        <w:contextualSpacing/>
        <w:rPr>
          <w:rFonts w:ascii="仿宋_GB2312" w:eastAsia="仿宋_GB2312" w:hint="eastAsia"/>
          <w:color w:val="000000"/>
          <w:sz w:val="32"/>
          <w:szCs w:val="32"/>
        </w:rPr>
      </w:pPr>
      <w:r w:rsidRPr="002D49D4">
        <w:rPr>
          <w:rFonts w:ascii="仿宋_GB2312" w:eastAsia="仿宋_GB2312" w:hint="eastAsia"/>
          <w:color w:val="000000"/>
          <w:sz w:val="32"/>
          <w:szCs w:val="32"/>
        </w:rPr>
        <w:t>附件：1.湖南省普通高校教师信息化教学竞赛章程（修订）</w:t>
      </w:r>
    </w:p>
    <w:p w:rsidR="002D49D4" w:rsidRPr="002D49D4" w:rsidRDefault="002D49D4" w:rsidP="002D49D4">
      <w:pPr>
        <w:ind w:firstLineChars="500" w:firstLine="1508"/>
        <w:contextualSpacing/>
        <w:rPr>
          <w:rFonts w:ascii="仿宋_GB2312" w:eastAsia="仿宋_GB2312" w:hint="eastAsia"/>
          <w:sz w:val="32"/>
          <w:szCs w:val="32"/>
        </w:rPr>
      </w:pPr>
      <w:r w:rsidRPr="002D49D4">
        <w:rPr>
          <w:rFonts w:ascii="仿宋_GB2312" w:eastAsia="仿宋_GB2312" w:hint="eastAsia"/>
          <w:color w:val="000000"/>
          <w:sz w:val="32"/>
          <w:szCs w:val="32"/>
        </w:rPr>
        <w:t>2.湖南省普通高校教师信息化教学竞赛复赛名额表</w:t>
      </w:r>
    </w:p>
    <w:p w:rsidR="002D49D4" w:rsidRPr="002D49D4" w:rsidRDefault="002D49D4" w:rsidP="002D49D4">
      <w:pPr>
        <w:ind w:firstLineChars="400" w:firstLine="1207"/>
        <w:contextualSpacing/>
        <w:rPr>
          <w:rFonts w:ascii="仿宋_GB2312" w:eastAsia="仿宋_GB2312" w:hint="eastAsia"/>
          <w:sz w:val="32"/>
          <w:szCs w:val="32"/>
        </w:rPr>
      </w:pPr>
      <w:bookmarkStart w:id="0" w:name="_GoBack"/>
      <w:bookmarkEnd w:id="0"/>
    </w:p>
    <w:p w:rsidR="002D49D4" w:rsidRPr="002D49D4" w:rsidRDefault="002D49D4" w:rsidP="002D49D4">
      <w:pPr>
        <w:ind w:leftChars="400" w:left="4840" w:hangingChars="1350" w:hanging="4073"/>
        <w:contextualSpacing/>
        <w:rPr>
          <w:rFonts w:ascii="仿宋_GB2312" w:eastAsia="仿宋_GB2312" w:hint="eastAsia"/>
          <w:sz w:val="32"/>
          <w:szCs w:val="32"/>
        </w:rPr>
      </w:pPr>
    </w:p>
    <w:p w:rsidR="002D49D4" w:rsidRPr="002D49D4" w:rsidRDefault="002D49D4" w:rsidP="002D49D4">
      <w:pPr>
        <w:ind w:leftChars="1950" w:left="3738" w:firstLineChars="450" w:firstLine="1358"/>
        <w:contextualSpacing/>
        <w:rPr>
          <w:rFonts w:ascii="仿宋_GB2312" w:eastAsia="仿宋_GB2312" w:hint="eastAsia"/>
          <w:sz w:val="32"/>
          <w:szCs w:val="32"/>
        </w:rPr>
      </w:pPr>
      <w:r w:rsidRPr="002D49D4">
        <w:rPr>
          <w:rFonts w:ascii="仿宋_GB2312" w:eastAsia="仿宋_GB2312" w:hint="eastAsia"/>
          <w:sz w:val="32"/>
          <w:szCs w:val="32"/>
        </w:rPr>
        <w:t>湖南省教育厅</w:t>
      </w:r>
    </w:p>
    <w:p w:rsidR="002D49D4" w:rsidRDefault="002D49D4" w:rsidP="002D49D4">
      <w:pPr>
        <w:ind w:firstLineChars="1600" w:firstLine="4827"/>
        <w:contextualSpacing/>
        <w:rPr>
          <w:rFonts w:ascii="仿宋_GB2312" w:eastAsia="仿宋_GB2312"/>
          <w:sz w:val="32"/>
          <w:szCs w:val="32"/>
        </w:rPr>
      </w:pPr>
      <w:r w:rsidRPr="002D49D4">
        <w:rPr>
          <w:rFonts w:ascii="仿宋_GB2312" w:eastAsia="仿宋_GB2312" w:hint="eastAsia"/>
          <w:sz w:val="32"/>
          <w:szCs w:val="32"/>
        </w:rPr>
        <w:t>2018年4月19日</w:t>
      </w:r>
    </w:p>
    <w:p w:rsidR="002D49D4" w:rsidRDefault="002D49D4">
      <w:pPr>
        <w:widowControl/>
        <w:jc w:val="left"/>
        <w:rPr>
          <w:rFonts w:ascii="仿宋_GB2312" w:eastAsia="仿宋_GB2312"/>
          <w:sz w:val="32"/>
          <w:szCs w:val="32"/>
        </w:rPr>
      </w:pPr>
      <w:r>
        <w:rPr>
          <w:rFonts w:ascii="仿宋_GB2312" w:eastAsia="仿宋_GB2312"/>
          <w:sz w:val="32"/>
          <w:szCs w:val="32"/>
        </w:rPr>
        <w:br w:type="page"/>
      </w:r>
    </w:p>
    <w:p w:rsidR="002D49D4" w:rsidRPr="002D49D4" w:rsidRDefault="002D49D4" w:rsidP="002D49D4">
      <w:pPr>
        <w:contextualSpacing/>
        <w:rPr>
          <w:rFonts w:ascii="黑体" w:eastAsia="黑体" w:hAnsi="黑体" w:hint="eastAsia"/>
          <w:sz w:val="32"/>
          <w:szCs w:val="32"/>
        </w:rPr>
      </w:pPr>
      <w:r w:rsidRPr="002D49D4">
        <w:rPr>
          <w:rFonts w:ascii="黑体" w:eastAsia="黑体" w:hAnsi="黑体" w:hint="eastAsia"/>
          <w:sz w:val="32"/>
          <w:szCs w:val="32"/>
        </w:rPr>
        <w:lastRenderedPageBreak/>
        <w:t>附件1</w:t>
      </w:r>
    </w:p>
    <w:p w:rsidR="002D49D4" w:rsidRPr="002D49D4" w:rsidRDefault="002D49D4" w:rsidP="002D49D4">
      <w:pPr>
        <w:snapToGrid w:val="0"/>
        <w:spacing w:line="580" w:lineRule="exact"/>
        <w:jc w:val="center"/>
        <w:rPr>
          <w:rFonts w:ascii="方正小标宋简体" w:eastAsia="方正小标宋简体" w:hint="eastAsia"/>
          <w:sz w:val="44"/>
          <w:szCs w:val="44"/>
        </w:rPr>
      </w:pPr>
      <w:r w:rsidRPr="002D49D4">
        <w:rPr>
          <w:rFonts w:ascii="方正小标宋简体" w:eastAsia="方正小标宋简体" w:hint="eastAsia"/>
          <w:sz w:val="44"/>
          <w:szCs w:val="44"/>
        </w:rPr>
        <w:t>湖南省普通高校教师信息化教学竞赛章程</w:t>
      </w:r>
    </w:p>
    <w:p w:rsidR="002D49D4" w:rsidRPr="002D49D4" w:rsidRDefault="002D49D4" w:rsidP="002D49D4">
      <w:pPr>
        <w:contextualSpacing/>
        <w:jc w:val="center"/>
        <w:rPr>
          <w:rFonts w:ascii="楷体_GB2312" w:eastAsia="楷体_GB2312" w:hint="eastAsia"/>
          <w:b/>
          <w:sz w:val="32"/>
          <w:szCs w:val="32"/>
        </w:rPr>
      </w:pPr>
      <w:r w:rsidRPr="002D49D4">
        <w:rPr>
          <w:rFonts w:ascii="楷体_GB2312" w:eastAsia="楷体_GB2312" w:hint="eastAsia"/>
          <w:b/>
          <w:sz w:val="32"/>
          <w:szCs w:val="32"/>
        </w:rPr>
        <w:t>（修    订）</w:t>
      </w:r>
    </w:p>
    <w:p w:rsidR="002D49D4" w:rsidRPr="002D49D4" w:rsidRDefault="002D49D4" w:rsidP="002D49D4">
      <w:pPr>
        <w:spacing w:line="580" w:lineRule="exact"/>
        <w:ind w:firstLineChars="196" w:firstLine="591"/>
        <w:contextualSpacing/>
        <w:rPr>
          <w:rFonts w:ascii="仿宋_GB2312" w:eastAsia="仿宋_GB2312" w:hint="eastAsia"/>
          <w:sz w:val="32"/>
          <w:szCs w:val="32"/>
        </w:rPr>
      </w:pPr>
    </w:p>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t>一、竞赛目的</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1．推动全省高校更加重视多媒体、网络、通信等信息技术在课程教学中的科学应用，进一步深化教学改革，优化教学条件，不断提高人才培养能力与质量。</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2．引导广大高校教师积极应用现代信息技术手段，不断更新教学理念，创新教学模式，改进教学方法，增强教学效果，不断提升教学业务能力与水平。</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3．探索高校信息化教学的评价标准，完善信息化教学的激励机制，营造信息化教学的浓厚氛围，推动信息化教学资源的建设与共享。</w:t>
      </w:r>
    </w:p>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t>二、组织领导</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信息化教学竞赛由湖南省教育厅主办，委托湖南省高等教育学会教育技术专业委员会承办，可根据需要邀请高校和企事业单位协办。具体竞赛活动由省教育厅高等教育处指导。</w:t>
      </w:r>
    </w:p>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t>三、</w:t>
      </w:r>
      <w:bookmarkStart w:id="1" w:name="OLE_LINK21"/>
      <w:bookmarkStart w:id="2" w:name="OLE_LINK22"/>
      <w:r w:rsidRPr="002D49D4">
        <w:rPr>
          <w:rFonts w:ascii="黑体" w:eastAsia="黑体" w:hAnsi="黑体" w:hint="eastAsia"/>
          <w:sz w:val="32"/>
          <w:szCs w:val="32"/>
        </w:rPr>
        <w:t>参赛对象</w:t>
      </w:r>
      <w:bookmarkEnd w:id="1"/>
      <w:bookmarkEnd w:id="2"/>
    </w:p>
    <w:p w:rsidR="002D49D4" w:rsidRPr="002D49D4" w:rsidRDefault="002D49D4" w:rsidP="002D49D4">
      <w:pPr>
        <w:ind w:firstLineChars="200" w:firstLine="603"/>
        <w:contextualSpacing/>
        <w:rPr>
          <w:rFonts w:ascii="仿宋_GB2312" w:eastAsia="仿宋_GB2312" w:hAnsi="仿宋" w:hint="eastAsia"/>
          <w:sz w:val="32"/>
          <w:szCs w:val="32"/>
        </w:rPr>
      </w:pPr>
      <w:bookmarkStart w:id="3" w:name="OLE_LINK16"/>
      <w:bookmarkStart w:id="4" w:name="OLE_LINK17"/>
      <w:r w:rsidRPr="002D49D4">
        <w:rPr>
          <w:rFonts w:ascii="仿宋_GB2312" w:eastAsia="仿宋_GB2312" w:hAnsi="仿宋" w:hint="eastAsia"/>
          <w:sz w:val="32"/>
          <w:szCs w:val="32"/>
        </w:rPr>
        <w:t>全省普通本科学校（</w:t>
      </w:r>
      <w:proofErr w:type="gramStart"/>
      <w:r w:rsidRPr="002D49D4">
        <w:rPr>
          <w:rFonts w:ascii="仿宋_GB2312" w:eastAsia="仿宋_GB2312" w:hAnsi="仿宋" w:hint="eastAsia"/>
          <w:sz w:val="32"/>
          <w:szCs w:val="32"/>
        </w:rPr>
        <w:t>含独立</w:t>
      </w:r>
      <w:proofErr w:type="gramEnd"/>
      <w:r w:rsidRPr="002D49D4">
        <w:rPr>
          <w:rFonts w:ascii="仿宋_GB2312" w:eastAsia="仿宋_GB2312" w:hAnsi="仿宋" w:hint="eastAsia"/>
          <w:sz w:val="32"/>
          <w:szCs w:val="32"/>
        </w:rPr>
        <w:t>学院）近三年承担各学科专业课程教学任务的在职专任教师。近五年已获得本项竞赛一等奖或有两次参赛经历的教师，不再推荐参加竞赛。</w:t>
      </w:r>
    </w:p>
    <w:bookmarkEnd w:id="3"/>
    <w:bookmarkEnd w:id="4"/>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lastRenderedPageBreak/>
        <w:t>四、参赛要求</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1．软件要求</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教学软件应由参赛教师自主建设或参与建设，教学理念先进，技术应用合理，较好实现信息技术与课程教学的深度融合，无知识产权异议和纠纷；教学软件能够完整体现所授课程的主要内容，有效破解教学中的重点难点问题，交互性能和教学效果较好；教学软件能够合理选用图形图像、音视频、动画等多媒体技术来呈现教学内容，界面布局合理，色彩搭配协调，播放顺畅稳定，导航链接准确，用户体验良好。</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2．教学要求</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正确运用高等教育教学改革新理念和信息化教学新要求设计教学方案、组织教学资源和实施教学过程；准确把握所授课程的基本内容、重点难点等教学要求，必须充分挖掘和利用课程教材的育人因素，教学目标设置和教学内容处理符合大学生认知规律；充分利用信息化的资源及工具改革课堂教学，破解教学难题，增强教学效果，有效调动学生自主学习、探究学习的积极性，师生互动好，教学效果好；</w:t>
      </w:r>
      <w:proofErr w:type="gramStart"/>
      <w:r w:rsidRPr="002D49D4">
        <w:rPr>
          <w:rFonts w:ascii="仿宋_GB2312" w:eastAsia="仿宋_GB2312" w:hAnsi="仿宋" w:hint="eastAsia"/>
          <w:sz w:val="32"/>
          <w:szCs w:val="32"/>
        </w:rPr>
        <w:t>教师教态自然</w:t>
      </w:r>
      <w:proofErr w:type="gramEnd"/>
      <w:r w:rsidRPr="002D49D4">
        <w:rPr>
          <w:rFonts w:ascii="仿宋_GB2312" w:eastAsia="仿宋_GB2312" w:hAnsi="仿宋" w:hint="eastAsia"/>
          <w:sz w:val="32"/>
          <w:szCs w:val="32"/>
        </w:rPr>
        <w:t>大方，语言标准生动，讲授条理清晰，形成了鲜明的教学风格。</w:t>
      </w:r>
    </w:p>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t>五、竞赛分组</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信息化教学</w:t>
      </w:r>
      <w:proofErr w:type="gramStart"/>
      <w:r w:rsidRPr="002D49D4">
        <w:rPr>
          <w:rFonts w:ascii="仿宋_GB2312" w:eastAsia="仿宋_GB2312" w:hAnsi="仿宋" w:hint="eastAsia"/>
          <w:sz w:val="32"/>
          <w:szCs w:val="32"/>
        </w:rPr>
        <w:t>竞赛按</w:t>
      </w:r>
      <w:proofErr w:type="gramEnd"/>
      <w:r w:rsidRPr="002D49D4">
        <w:rPr>
          <w:rFonts w:ascii="仿宋_GB2312" w:eastAsia="仿宋_GB2312" w:hAnsi="仿宋" w:hint="eastAsia"/>
          <w:sz w:val="32"/>
          <w:szCs w:val="32"/>
        </w:rPr>
        <w:t>文科组、理工组、</w:t>
      </w:r>
      <w:proofErr w:type="gramStart"/>
      <w:r w:rsidRPr="002D49D4">
        <w:rPr>
          <w:rFonts w:ascii="仿宋_GB2312" w:eastAsia="仿宋_GB2312" w:hAnsi="仿宋" w:hint="eastAsia"/>
          <w:sz w:val="32"/>
          <w:szCs w:val="32"/>
        </w:rPr>
        <w:t>实践组</w:t>
      </w:r>
      <w:proofErr w:type="gramEnd"/>
      <w:r w:rsidRPr="002D49D4">
        <w:rPr>
          <w:rFonts w:ascii="仿宋_GB2312" w:eastAsia="仿宋_GB2312" w:hAnsi="仿宋" w:hint="eastAsia"/>
          <w:sz w:val="32"/>
          <w:szCs w:val="32"/>
        </w:rPr>
        <w:t>三个组别进行比赛，参赛教师可根据参赛课程及其教学软件（多媒体课件、网络课程、在线开放课程、虚拟仿真实验等）性质，选择参加文科组、</w:t>
      </w:r>
      <w:proofErr w:type="gramStart"/>
      <w:r w:rsidRPr="002D49D4">
        <w:rPr>
          <w:rFonts w:ascii="仿宋_GB2312" w:eastAsia="仿宋_GB2312" w:hAnsi="仿宋" w:hint="eastAsia"/>
          <w:sz w:val="32"/>
          <w:szCs w:val="32"/>
        </w:rPr>
        <w:lastRenderedPageBreak/>
        <w:t>理工组或实践组竞赛</w:t>
      </w:r>
      <w:proofErr w:type="gramEnd"/>
      <w:r w:rsidRPr="002D49D4">
        <w:rPr>
          <w:rFonts w:ascii="仿宋_GB2312" w:eastAsia="仿宋_GB2312" w:hAnsi="仿宋" w:hint="eastAsia"/>
          <w:sz w:val="32"/>
          <w:szCs w:val="32"/>
        </w:rPr>
        <w:t>，展示自己的信息化教学水平。</w:t>
      </w:r>
    </w:p>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t>六、竞赛程序</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1．初赛</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各高校根据竞赛章程和组委会工作安排，自主制定方案组织校内初赛。在此基础上，根据年度分配名额择优推荐教师参加省级竞赛。推荐参加省级竞赛的教师名单须在校园网公示一周时间，经公示无异议后方可上报。</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2．复赛</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复赛教师应提交涵盖所授课</w:t>
      </w:r>
      <w:proofErr w:type="gramStart"/>
      <w:r w:rsidRPr="002D49D4">
        <w:rPr>
          <w:rFonts w:ascii="仿宋_GB2312" w:eastAsia="仿宋_GB2312" w:hAnsi="仿宋" w:hint="eastAsia"/>
          <w:sz w:val="32"/>
          <w:szCs w:val="32"/>
        </w:rPr>
        <w:t>程全部</w:t>
      </w:r>
      <w:proofErr w:type="gramEnd"/>
      <w:r w:rsidRPr="002D49D4">
        <w:rPr>
          <w:rFonts w:ascii="仿宋_GB2312" w:eastAsia="仿宋_GB2312" w:hAnsi="仿宋" w:hint="eastAsia"/>
          <w:sz w:val="32"/>
          <w:szCs w:val="32"/>
        </w:rPr>
        <w:t>内容的教学软件以及介绍和展示该软件应用的微视频，同时提交若干典型教学应用的教学内容目录（供决赛时随机抽选）。微视频限10分钟以内，并遵循统一的技术标准（编码格式：</w:t>
      </w:r>
      <w:proofErr w:type="spellStart"/>
      <w:r w:rsidRPr="002D49D4">
        <w:rPr>
          <w:rFonts w:ascii="仿宋_GB2312" w:eastAsia="仿宋_GB2312" w:hAnsi="仿宋" w:hint="eastAsia"/>
          <w:sz w:val="32"/>
          <w:szCs w:val="32"/>
        </w:rPr>
        <w:t>wmv</w:t>
      </w:r>
      <w:proofErr w:type="spellEnd"/>
      <w:r w:rsidRPr="002D49D4">
        <w:rPr>
          <w:rFonts w:ascii="仿宋_GB2312" w:eastAsia="仿宋_GB2312" w:hAnsi="仿宋" w:hint="eastAsia"/>
          <w:sz w:val="32"/>
          <w:szCs w:val="32"/>
        </w:rPr>
        <w:t>\</w:t>
      </w:r>
      <w:proofErr w:type="spellStart"/>
      <w:r w:rsidRPr="002D49D4">
        <w:rPr>
          <w:rFonts w:ascii="仿宋_GB2312" w:eastAsia="仿宋_GB2312" w:hAnsi="仿宋" w:hint="eastAsia"/>
          <w:sz w:val="32"/>
          <w:szCs w:val="32"/>
        </w:rPr>
        <w:t>flv</w:t>
      </w:r>
      <w:proofErr w:type="spellEnd"/>
      <w:r w:rsidRPr="002D49D4">
        <w:rPr>
          <w:rFonts w:ascii="仿宋_GB2312" w:eastAsia="仿宋_GB2312" w:hAnsi="仿宋" w:hint="eastAsia"/>
          <w:sz w:val="32"/>
          <w:szCs w:val="32"/>
        </w:rPr>
        <w:t>\mp4；码率：500－1024kbps；分辨率：720×576－1280×720或640×480－1024×576）。教学</w:t>
      </w:r>
      <w:r w:rsidRPr="002D49D4">
        <w:rPr>
          <w:rFonts w:ascii="仿宋_GB2312" w:eastAsia="仿宋_GB2312" w:hAnsi="仿宋" w:hint="eastAsia"/>
          <w:spacing w:val="-6"/>
          <w:sz w:val="32"/>
          <w:szCs w:val="32"/>
        </w:rPr>
        <w:t>软件一般以U</w:t>
      </w:r>
      <w:proofErr w:type="gramStart"/>
      <w:r w:rsidRPr="002D49D4">
        <w:rPr>
          <w:rFonts w:ascii="仿宋_GB2312" w:eastAsia="仿宋_GB2312" w:hAnsi="仿宋" w:hint="eastAsia"/>
          <w:spacing w:val="-6"/>
          <w:sz w:val="32"/>
          <w:szCs w:val="32"/>
        </w:rPr>
        <w:t>盘形式</w:t>
      </w:r>
      <w:proofErr w:type="gramEnd"/>
      <w:r w:rsidRPr="002D49D4">
        <w:rPr>
          <w:rFonts w:ascii="仿宋_GB2312" w:eastAsia="仿宋_GB2312" w:hAnsi="仿宋" w:hint="eastAsia"/>
          <w:spacing w:val="-6"/>
          <w:sz w:val="32"/>
          <w:szCs w:val="32"/>
        </w:rPr>
        <w:t>提供，并附必要的使用说明；教学软件为互联网资源的，须提供相应网址和用户名密码，并确保随时能够访问</w:t>
      </w:r>
      <w:r w:rsidRPr="002D49D4">
        <w:rPr>
          <w:rFonts w:ascii="仿宋_GB2312" w:eastAsia="仿宋_GB2312" w:hAnsi="仿宋" w:hint="eastAsia"/>
          <w:sz w:val="32"/>
          <w:szCs w:val="32"/>
        </w:rPr>
        <w:t>。</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组委会根据竞赛分组，分别组织专家对参赛教师的软件及教学进行评分（具体评分细则由湖南省高等教育学会教育技术专业委员会组织制订并及时发布，其中软件和教学各按50%折算总分），从高到低依次取各组复赛成绩前30%左右的教师进入决赛。</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为确保公平公正，参赛教师提交的材料不得透露任何个人与学校信息，一经发现将取消复赛资格。</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3．决赛</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lastRenderedPageBreak/>
        <w:t>现场将从每位参赛教师提交的若干典型教育应用的教学内容目录中随机抽取一个教学内容，参赛教师进行10分钟左右的现场教学并进行公开答辩，由专家组根据评分细则进行打分。为确保公平公正，决赛过程实行专家当场打分和亮分，同时接受全省高校教师的观摩和监督。</w:t>
      </w:r>
    </w:p>
    <w:p w:rsidR="002D49D4" w:rsidRPr="002D49D4" w:rsidRDefault="002D49D4" w:rsidP="002D49D4">
      <w:pPr>
        <w:ind w:firstLineChars="200" w:firstLine="603"/>
        <w:contextualSpacing/>
        <w:rPr>
          <w:rFonts w:ascii="黑体" w:eastAsia="黑体" w:hAnsi="黑体" w:hint="eastAsia"/>
          <w:sz w:val="32"/>
          <w:szCs w:val="32"/>
        </w:rPr>
      </w:pPr>
      <w:r w:rsidRPr="002D49D4">
        <w:rPr>
          <w:rFonts w:ascii="黑体" w:eastAsia="黑体" w:hAnsi="黑体" w:hint="eastAsia"/>
          <w:sz w:val="32"/>
          <w:szCs w:val="32"/>
        </w:rPr>
        <w:t xml:space="preserve">七、竞赛评奖 </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1．奖项设置</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竞赛设个人奖和组织奖。个人奖按各组别复赛教师人数设奖，其中一等奖20%，二等奖30%，三等奖30%。组织奖按参赛学校总数的20%左右设奖。</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2．评奖办法</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个人</w:t>
      </w:r>
      <w:proofErr w:type="gramStart"/>
      <w:r w:rsidRPr="002D49D4">
        <w:rPr>
          <w:rFonts w:ascii="仿宋_GB2312" w:eastAsia="仿宋_GB2312" w:hAnsi="仿宋" w:hint="eastAsia"/>
          <w:sz w:val="32"/>
          <w:szCs w:val="32"/>
        </w:rPr>
        <w:t>奖根据</w:t>
      </w:r>
      <w:proofErr w:type="gramEnd"/>
      <w:r w:rsidRPr="002D49D4">
        <w:rPr>
          <w:rFonts w:ascii="仿宋_GB2312" w:eastAsia="仿宋_GB2312" w:hAnsi="仿宋" w:hint="eastAsia"/>
          <w:sz w:val="32"/>
          <w:szCs w:val="32"/>
        </w:rPr>
        <w:t>教师参加省级竞赛的总成绩从高</w:t>
      </w:r>
      <w:proofErr w:type="gramStart"/>
      <w:r w:rsidRPr="002D49D4">
        <w:rPr>
          <w:rFonts w:ascii="仿宋_GB2312" w:eastAsia="仿宋_GB2312" w:hAnsi="仿宋" w:hint="eastAsia"/>
          <w:sz w:val="32"/>
          <w:szCs w:val="32"/>
        </w:rPr>
        <w:t>到低按比例</w:t>
      </w:r>
      <w:proofErr w:type="gramEnd"/>
      <w:r w:rsidRPr="002D49D4">
        <w:rPr>
          <w:rFonts w:ascii="仿宋_GB2312" w:eastAsia="仿宋_GB2312" w:hAnsi="仿宋" w:hint="eastAsia"/>
          <w:sz w:val="32"/>
          <w:szCs w:val="32"/>
        </w:rPr>
        <w:t>依次确定。其中，参加决赛教师的总成绩由复赛和决赛成绩折合计算（各占50%），若成绩相同，则以决赛成绩排序确定获奖等级；未进入决赛的参赛教师，按复赛成绩排序确定获奖等级。</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组织奖由竞赛组委会根据校内初赛组织及省级竞赛获奖等情况，经综合评议后投票确定。</w:t>
      </w:r>
    </w:p>
    <w:p w:rsidR="002D49D4" w:rsidRPr="002D49D4" w:rsidRDefault="002D49D4" w:rsidP="002D49D4">
      <w:pPr>
        <w:ind w:firstLineChars="200" w:firstLine="603"/>
        <w:contextualSpacing/>
        <w:rPr>
          <w:rFonts w:ascii="仿宋_GB2312" w:eastAsia="仿宋_GB2312" w:hAnsi="仿宋" w:hint="eastAsia"/>
          <w:sz w:val="32"/>
          <w:szCs w:val="32"/>
        </w:rPr>
      </w:pPr>
      <w:r w:rsidRPr="002D49D4">
        <w:rPr>
          <w:rFonts w:ascii="仿宋_GB2312" w:eastAsia="仿宋_GB2312" w:hAnsi="仿宋" w:hint="eastAsia"/>
          <w:sz w:val="32"/>
          <w:szCs w:val="32"/>
        </w:rPr>
        <w:t>上述获奖结果由竞赛组委会通过网络进行公示并负责处理异议，公示期不少于一周。</w:t>
      </w:r>
    </w:p>
    <w:p w:rsidR="002D49D4" w:rsidRPr="002D49D4" w:rsidRDefault="002D49D4" w:rsidP="002D49D4">
      <w:pPr>
        <w:ind w:firstLineChars="200" w:firstLine="606"/>
        <w:contextualSpacing/>
        <w:rPr>
          <w:rFonts w:ascii="楷体_GB2312" w:eastAsia="楷体_GB2312" w:hAnsi="仿宋" w:hint="eastAsia"/>
          <w:b/>
          <w:sz w:val="32"/>
          <w:szCs w:val="32"/>
        </w:rPr>
      </w:pPr>
      <w:r w:rsidRPr="002D49D4">
        <w:rPr>
          <w:rFonts w:ascii="楷体_GB2312" w:eastAsia="楷体_GB2312" w:hAnsi="仿宋" w:hint="eastAsia"/>
          <w:b/>
          <w:sz w:val="32"/>
          <w:szCs w:val="32"/>
        </w:rPr>
        <w:t>3．奖励办法</w:t>
      </w:r>
    </w:p>
    <w:p w:rsidR="002D49D4" w:rsidRDefault="002D49D4" w:rsidP="002D49D4">
      <w:pPr>
        <w:ind w:firstLineChars="200" w:firstLine="603"/>
        <w:contextualSpacing/>
        <w:rPr>
          <w:rFonts w:ascii="仿宋_GB2312" w:eastAsia="仿宋_GB2312" w:hAnsi="仿宋"/>
          <w:sz w:val="32"/>
          <w:szCs w:val="32"/>
        </w:rPr>
      </w:pPr>
      <w:r w:rsidRPr="002D49D4">
        <w:rPr>
          <w:rFonts w:ascii="仿宋_GB2312" w:eastAsia="仿宋_GB2312" w:hAnsi="仿宋" w:hint="eastAsia"/>
          <w:sz w:val="32"/>
          <w:szCs w:val="32"/>
        </w:rPr>
        <w:t>对经公示无异议的竞赛获奖教师和单位，由省教育厅发文通报并颁发相应的荣誉证书、奖牌。</w:t>
      </w:r>
    </w:p>
    <w:p w:rsidR="002D49D4" w:rsidRPr="002D49D4" w:rsidRDefault="002D49D4" w:rsidP="002D49D4">
      <w:pPr>
        <w:snapToGrid w:val="0"/>
        <w:rPr>
          <w:rFonts w:ascii="黑体" w:eastAsia="黑体" w:hAnsi="黑体"/>
          <w:sz w:val="32"/>
          <w:szCs w:val="32"/>
        </w:rPr>
      </w:pPr>
      <w:r w:rsidRPr="002D49D4">
        <w:rPr>
          <w:rFonts w:ascii="黑体" w:eastAsia="黑体" w:hAnsi="黑体" w:hint="eastAsia"/>
          <w:sz w:val="32"/>
          <w:szCs w:val="32"/>
        </w:rPr>
        <w:lastRenderedPageBreak/>
        <w:t>附件2</w:t>
      </w:r>
    </w:p>
    <w:p w:rsidR="002D49D4" w:rsidRDefault="002D49D4" w:rsidP="002D49D4">
      <w:pPr>
        <w:spacing w:line="600" w:lineRule="exact"/>
        <w:jc w:val="center"/>
        <w:rPr>
          <w:rFonts w:ascii="方正小标宋简体" w:eastAsia="方正小标宋简体"/>
          <w:bCs/>
          <w:color w:val="000000" w:themeColor="text1"/>
          <w:sz w:val="44"/>
          <w:szCs w:val="44"/>
        </w:rPr>
      </w:pPr>
      <w:r w:rsidRPr="002D49D4">
        <w:rPr>
          <w:rFonts w:ascii="方正小标宋简体" w:eastAsia="方正小标宋简体" w:hint="eastAsia"/>
          <w:bCs/>
          <w:color w:val="000000" w:themeColor="text1"/>
          <w:sz w:val="44"/>
          <w:szCs w:val="44"/>
        </w:rPr>
        <w:t>湖南省普通高校教师</w:t>
      </w:r>
    </w:p>
    <w:p w:rsidR="002D49D4" w:rsidRPr="002D49D4" w:rsidRDefault="002D49D4" w:rsidP="002D49D4">
      <w:pPr>
        <w:spacing w:line="600" w:lineRule="exact"/>
        <w:jc w:val="center"/>
        <w:rPr>
          <w:rFonts w:ascii="方正小标宋简体" w:eastAsia="方正小标宋简体" w:hint="eastAsia"/>
          <w:bCs/>
          <w:color w:val="000000" w:themeColor="text1"/>
          <w:sz w:val="44"/>
          <w:szCs w:val="44"/>
        </w:rPr>
      </w:pPr>
      <w:r w:rsidRPr="002D49D4">
        <w:rPr>
          <w:rFonts w:ascii="方正小标宋简体" w:eastAsia="方正小标宋简体" w:hint="eastAsia"/>
          <w:bCs/>
          <w:color w:val="000000" w:themeColor="text1"/>
          <w:sz w:val="44"/>
          <w:szCs w:val="44"/>
        </w:rPr>
        <w:t>信息化教学竞赛复赛名额表</w:t>
      </w: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644"/>
        <w:gridCol w:w="4164"/>
        <w:gridCol w:w="636"/>
      </w:tblGrid>
      <w:tr w:rsidR="002D49D4" w:rsidRPr="002D49D4" w:rsidTr="002D49D4">
        <w:trPr>
          <w:trHeight w:val="501"/>
          <w:jc w:val="center"/>
        </w:trPr>
        <w:tc>
          <w:tcPr>
            <w:tcW w:w="3236" w:type="dxa"/>
            <w:tcMar>
              <w:left w:w="28" w:type="dxa"/>
              <w:right w:w="28" w:type="dxa"/>
            </w:tcMar>
            <w:vAlign w:val="center"/>
          </w:tcPr>
          <w:p w:rsidR="002D49D4" w:rsidRPr="002D49D4" w:rsidRDefault="002D49D4" w:rsidP="002D49D4">
            <w:pPr>
              <w:autoSpaceDN w:val="0"/>
              <w:snapToGrid w:val="0"/>
              <w:jc w:val="center"/>
              <w:rPr>
                <w:rFonts w:asciiTheme="minorEastAsia" w:eastAsiaTheme="minorEastAsia" w:hAnsiTheme="minorEastAsia"/>
                <w:sz w:val="24"/>
              </w:rPr>
            </w:pPr>
            <w:r w:rsidRPr="002D49D4">
              <w:rPr>
                <w:rFonts w:asciiTheme="minorEastAsia" w:eastAsiaTheme="minorEastAsia" w:hAnsiTheme="minorEastAsia"/>
                <w:sz w:val="24"/>
              </w:rPr>
              <w:t>学校名称</w:t>
            </w:r>
          </w:p>
        </w:tc>
        <w:tc>
          <w:tcPr>
            <w:tcW w:w="644" w:type="dxa"/>
            <w:tcMar>
              <w:left w:w="28" w:type="dxa"/>
              <w:right w:w="28" w:type="dxa"/>
            </w:tcMar>
            <w:vAlign w:val="center"/>
          </w:tcPr>
          <w:p w:rsidR="002D49D4" w:rsidRPr="002D49D4" w:rsidRDefault="002D49D4" w:rsidP="002D49D4">
            <w:pPr>
              <w:autoSpaceDN w:val="0"/>
              <w:snapToGrid w:val="0"/>
              <w:jc w:val="center"/>
              <w:rPr>
                <w:rFonts w:asciiTheme="minorEastAsia" w:eastAsiaTheme="minorEastAsia" w:hAnsiTheme="minorEastAsia"/>
                <w:sz w:val="24"/>
              </w:rPr>
            </w:pPr>
            <w:r w:rsidRPr="002D49D4">
              <w:rPr>
                <w:rFonts w:asciiTheme="minorEastAsia" w:eastAsiaTheme="minorEastAsia" w:hAnsiTheme="minorEastAsia" w:hint="eastAsia"/>
                <w:sz w:val="24"/>
              </w:rPr>
              <w:t>参赛</w:t>
            </w:r>
          </w:p>
          <w:p w:rsidR="002D49D4" w:rsidRPr="002D49D4" w:rsidRDefault="002D49D4" w:rsidP="002D49D4">
            <w:pPr>
              <w:autoSpaceDN w:val="0"/>
              <w:snapToGrid w:val="0"/>
              <w:jc w:val="center"/>
              <w:rPr>
                <w:rFonts w:asciiTheme="minorEastAsia" w:eastAsiaTheme="minorEastAsia" w:hAnsiTheme="minorEastAsia"/>
                <w:sz w:val="24"/>
              </w:rPr>
            </w:pPr>
            <w:r w:rsidRPr="002D49D4">
              <w:rPr>
                <w:rFonts w:asciiTheme="minorEastAsia" w:eastAsiaTheme="minorEastAsia" w:hAnsiTheme="minorEastAsia" w:hint="eastAsia"/>
                <w:sz w:val="24"/>
              </w:rPr>
              <w:t>名额</w:t>
            </w:r>
          </w:p>
        </w:tc>
        <w:tc>
          <w:tcPr>
            <w:tcW w:w="4164" w:type="dxa"/>
            <w:tcMar>
              <w:left w:w="28" w:type="dxa"/>
              <w:right w:w="28" w:type="dxa"/>
            </w:tcMar>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sz w:val="24"/>
              </w:rPr>
              <w:t>学校名称</w:t>
            </w:r>
          </w:p>
        </w:tc>
        <w:tc>
          <w:tcPr>
            <w:tcW w:w="636" w:type="dxa"/>
            <w:tcMar>
              <w:left w:w="28" w:type="dxa"/>
              <w:right w:w="28" w:type="dxa"/>
            </w:tcMar>
            <w:vAlign w:val="center"/>
          </w:tcPr>
          <w:p w:rsidR="002D49D4" w:rsidRPr="002D49D4" w:rsidRDefault="002D49D4" w:rsidP="002D49D4">
            <w:pPr>
              <w:autoSpaceDN w:val="0"/>
              <w:snapToGrid w:val="0"/>
              <w:jc w:val="center"/>
              <w:rPr>
                <w:rFonts w:asciiTheme="minorEastAsia" w:eastAsiaTheme="minorEastAsia" w:hAnsiTheme="minorEastAsia"/>
                <w:sz w:val="24"/>
              </w:rPr>
            </w:pPr>
            <w:r w:rsidRPr="002D49D4">
              <w:rPr>
                <w:rFonts w:asciiTheme="minorEastAsia" w:eastAsiaTheme="minorEastAsia" w:hAnsiTheme="minorEastAsia" w:hint="eastAsia"/>
                <w:sz w:val="24"/>
              </w:rPr>
              <w:t>参赛</w:t>
            </w:r>
          </w:p>
          <w:p w:rsidR="002D49D4" w:rsidRPr="002D49D4" w:rsidRDefault="002D49D4" w:rsidP="002D49D4">
            <w:pPr>
              <w:autoSpaceDN w:val="0"/>
              <w:snapToGrid w:val="0"/>
              <w:jc w:val="center"/>
              <w:rPr>
                <w:rFonts w:asciiTheme="minorEastAsia" w:eastAsiaTheme="minorEastAsia" w:hAnsiTheme="minorEastAsia"/>
                <w:sz w:val="24"/>
              </w:rPr>
            </w:pPr>
            <w:r w:rsidRPr="002D49D4">
              <w:rPr>
                <w:rFonts w:asciiTheme="minorEastAsia" w:eastAsiaTheme="minorEastAsia" w:hAnsiTheme="minorEastAsia" w:hint="eastAsia"/>
                <w:sz w:val="24"/>
              </w:rPr>
              <w:t>名额</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国防科技大学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湖南第一师范学院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中南大学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6</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湖南涉外经济学院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6</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长沙医学院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湖南师范大学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湖南财政经济学院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湘潭大学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湖南警察学院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长沙理工大学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湖南女子学院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湖南农业大学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长沙师范学院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中南林业科技大学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湖南医药学院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南华大学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湖南交通工程学院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湖南科技大学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湖南应用技术学院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湖南中医药大学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湖南信息学院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湖南工业大学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湖南师范大学树达学院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吉首大学</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4</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湘潭大学兴湘学院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湖南商学院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长沙理工大学城南学院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湖南理工学院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湖南农业大学东方科技学院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湖南工程学院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中南林业科技大学涉外学院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湖南文理学院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南华大学船山学院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衡阳师范学院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湖南科技大学潇湘学院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怀化学院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湖南中医药大学湘杏学院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邵阳学院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湖南工业大学科技学院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湘南学院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吉首大学张家界学院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湖南科技学院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湖南商学院北津学院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湖南城市学院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湖南理工学院南湖学院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湖南人文科技学院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湖南文理学院芙蓉学院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长沙学院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衡阳师范学院南岳学院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236"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sz w:val="24"/>
              </w:rPr>
              <w:t>湖南工学院</w:t>
            </w:r>
          </w:p>
        </w:tc>
        <w:tc>
          <w:tcPr>
            <w:tcW w:w="644"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c>
          <w:tcPr>
            <w:tcW w:w="4164" w:type="dxa"/>
            <w:vAlign w:val="center"/>
          </w:tcPr>
          <w:p w:rsidR="002D49D4" w:rsidRPr="002D49D4" w:rsidRDefault="002D49D4" w:rsidP="002D49D4">
            <w:pPr>
              <w:autoSpaceDN w:val="0"/>
              <w:snapToGrid w:val="0"/>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湖南工程学院应用技术学院</w:t>
            </w:r>
          </w:p>
        </w:tc>
        <w:tc>
          <w:tcPr>
            <w:tcW w:w="636" w:type="dxa"/>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2</w:t>
            </w:r>
          </w:p>
        </w:tc>
      </w:tr>
      <w:tr w:rsidR="002D49D4" w:rsidRPr="002D49D4" w:rsidTr="002D49D4">
        <w:trPr>
          <w:cantSplit/>
          <w:trHeight w:val="374"/>
          <w:jc w:val="center"/>
        </w:trPr>
        <w:tc>
          <w:tcPr>
            <w:tcW w:w="3880" w:type="dxa"/>
            <w:gridSpan w:val="2"/>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总计</w:t>
            </w:r>
          </w:p>
        </w:tc>
        <w:tc>
          <w:tcPr>
            <w:tcW w:w="4800" w:type="dxa"/>
            <w:gridSpan w:val="2"/>
            <w:vAlign w:val="center"/>
          </w:tcPr>
          <w:p w:rsidR="002D49D4" w:rsidRPr="002D49D4" w:rsidRDefault="002D49D4" w:rsidP="002D49D4">
            <w:pPr>
              <w:autoSpaceDN w:val="0"/>
              <w:snapToGrid w:val="0"/>
              <w:jc w:val="center"/>
              <w:textAlignment w:val="center"/>
              <w:rPr>
                <w:rFonts w:asciiTheme="minorEastAsia" w:eastAsiaTheme="minorEastAsia" w:hAnsiTheme="minorEastAsia"/>
                <w:sz w:val="24"/>
              </w:rPr>
            </w:pPr>
            <w:r w:rsidRPr="002D49D4">
              <w:rPr>
                <w:rFonts w:asciiTheme="minorEastAsia" w:eastAsiaTheme="minorEastAsia" w:hAnsiTheme="minorEastAsia" w:hint="eastAsia"/>
                <w:sz w:val="24"/>
              </w:rPr>
              <w:t>132</w:t>
            </w:r>
          </w:p>
        </w:tc>
      </w:tr>
    </w:tbl>
    <w:p w:rsidR="002D49D4" w:rsidRPr="002D49D4" w:rsidRDefault="002D49D4" w:rsidP="002D49D4">
      <w:pPr>
        <w:snapToGrid w:val="0"/>
        <w:ind w:left="523" w:hangingChars="200" w:hanging="523"/>
        <w:rPr>
          <w:rFonts w:ascii="仿宋_GB2312" w:eastAsia="仿宋_GB2312" w:hint="eastAsia"/>
          <w:sz w:val="32"/>
          <w:szCs w:val="32"/>
        </w:rPr>
      </w:pPr>
      <w:r w:rsidRPr="002D49D4">
        <w:rPr>
          <w:rFonts w:ascii="仿宋_GB2312" w:eastAsia="仿宋_GB2312" w:hint="eastAsia"/>
          <w:color w:val="000000" w:themeColor="text1"/>
          <w:sz w:val="28"/>
          <w:szCs w:val="28"/>
        </w:rPr>
        <w:t>注：各校根据限额推荐选手报名参赛，但同一复赛组别（文科组、</w:t>
      </w:r>
      <w:proofErr w:type="gramStart"/>
      <w:r w:rsidRPr="002D49D4">
        <w:rPr>
          <w:rFonts w:ascii="仿宋_GB2312" w:eastAsia="仿宋_GB2312" w:hint="eastAsia"/>
          <w:color w:val="000000" w:themeColor="text1"/>
          <w:sz w:val="28"/>
          <w:szCs w:val="28"/>
        </w:rPr>
        <w:t>理工组</w:t>
      </w:r>
      <w:proofErr w:type="gramEnd"/>
      <w:r w:rsidRPr="002D49D4">
        <w:rPr>
          <w:rFonts w:ascii="仿宋_GB2312" w:eastAsia="仿宋_GB2312" w:hint="eastAsia"/>
          <w:color w:val="000000" w:themeColor="text1"/>
          <w:sz w:val="28"/>
          <w:szCs w:val="28"/>
        </w:rPr>
        <w:t>或实践组）不得超过2人。</w:t>
      </w:r>
    </w:p>
    <w:sectPr w:rsidR="002D49D4" w:rsidRPr="002D49D4" w:rsidSect="002D49D4">
      <w:footerReference w:type="even" r:id="rId6"/>
      <w:footerReference w:type="default" r:id="rId7"/>
      <w:pgSz w:w="11906" w:h="16838" w:code="9"/>
      <w:pgMar w:top="1588" w:right="1701" w:bottom="1871" w:left="1758" w:header="851" w:footer="1134" w:gutter="0"/>
      <w:cols w:space="425"/>
      <w:titlePg/>
      <w:docGrid w:type="linesAndChar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1B8" w:rsidRDefault="00CF01B8" w:rsidP="002D49D4">
      <w:r>
        <w:separator/>
      </w:r>
    </w:p>
  </w:endnote>
  <w:endnote w:type="continuationSeparator" w:id="0">
    <w:p w:rsidR="00CF01B8" w:rsidRDefault="00CF01B8" w:rsidP="002D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1921"/>
      <w:docPartObj>
        <w:docPartGallery w:val="Page Numbers (Bottom of Page)"/>
        <w:docPartUnique/>
      </w:docPartObj>
    </w:sdtPr>
    <w:sdtEndPr>
      <w:rPr>
        <w:rFonts w:asciiTheme="minorEastAsia" w:eastAsiaTheme="minorEastAsia" w:hAnsiTheme="minorEastAsia"/>
        <w:sz w:val="28"/>
        <w:szCs w:val="28"/>
      </w:rPr>
    </w:sdtEndPr>
    <w:sdtContent>
      <w:p w:rsidR="002D49D4" w:rsidRPr="002D49D4" w:rsidRDefault="002D49D4">
        <w:pPr>
          <w:pStyle w:val="a5"/>
          <w:rPr>
            <w:rFonts w:asciiTheme="minorEastAsia" w:eastAsiaTheme="minorEastAsia" w:hAnsiTheme="minorEastAsia"/>
            <w:sz w:val="28"/>
            <w:szCs w:val="28"/>
          </w:rPr>
        </w:pPr>
        <w:r w:rsidRPr="002D49D4">
          <w:rPr>
            <w:rFonts w:asciiTheme="minorEastAsia" w:eastAsiaTheme="minorEastAsia" w:hAnsiTheme="minorEastAsia" w:hint="eastAsia"/>
            <w:sz w:val="28"/>
            <w:szCs w:val="28"/>
          </w:rPr>
          <w:t>－</w:t>
        </w:r>
        <w:r w:rsidRPr="002D49D4">
          <w:rPr>
            <w:rFonts w:asciiTheme="minorEastAsia" w:eastAsiaTheme="minorEastAsia" w:hAnsiTheme="minorEastAsia"/>
            <w:sz w:val="28"/>
            <w:szCs w:val="28"/>
          </w:rPr>
          <w:fldChar w:fldCharType="begin"/>
        </w:r>
        <w:r w:rsidRPr="002D49D4">
          <w:rPr>
            <w:rFonts w:asciiTheme="minorEastAsia" w:eastAsiaTheme="minorEastAsia" w:hAnsiTheme="minorEastAsia"/>
            <w:sz w:val="28"/>
            <w:szCs w:val="28"/>
          </w:rPr>
          <w:instrText>PAGE   \* MERGEFORMAT</w:instrText>
        </w:r>
        <w:r w:rsidRPr="002D49D4">
          <w:rPr>
            <w:rFonts w:asciiTheme="minorEastAsia" w:eastAsiaTheme="minorEastAsia" w:hAnsiTheme="minorEastAsia"/>
            <w:sz w:val="28"/>
            <w:szCs w:val="28"/>
          </w:rPr>
          <w:fldChar w:fldCharType="separate"/>
        </w:r>
        <w:r w:rsidRPr="002D49D4">
          <w:rPr>
            <w:rFonts w:asciiTheme="minorEastAsia" w:eastAsiaTheme="minorEastAsia" w:hAnsiTheme="minorEastAsia"/>
            <w:noProof/>
            <w:sz w:val="28"/>
            <w:szCs w:val="28"/>
            <w:lang w:val="zh-CN"/>
          </w:rPr>
          <w:t>2</w:t>
        </w:r>
        <w:r w:rsidRPr="002D49D4">
          <w:rPr>
            <w:rFonts w:asciiTheme="minorEastAsia" w:eastAsiaTheme="minorEastAsia" w:hAnsiTheme="minorEastAsia"/>
            <w:sz w:val="28"/>
            <w:szCs w:val="28"/>
          </w:rPr>
          <w:fldChar w:fldCharType="end"/>
        </w:r>
        <w:r w:rsidRPr="002D49D4">
          <w:rPr>
            <w:rFonts w:asciiTheme="minorEastAsia" w:eastAsiaTheme="minorEastAsia" w:hAnsiTheme="minorEastAsia" w:hint="eastAsia"/>
            <w:sz w:val="28"/>
            <w:szCs w:val="28"/>
          </w:rPr>
          <w:t>－</w:t>
        </w:r>
      </w:p>
    </w:sdtContent>
  </w:sdt>
  <w:p w:rsidR="002D49D4" w:rsidRDefault="002D49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996859"/>
      <w:docPartObj>
        <w:docPartGallery w:val="Page Numbers (Bottom of Page)"/>
        <w:docPartUnique/>
      </w:docPartObj>
    </w:sdtPr>
    <w:sdtEndPr>
      <w:rPr>
        <w:rFonts w:asciiTheme="minorEastAsia" w:eastAsiaTheme="minorEastAsia" w:hAnsiTheme="minorEastAsia"/>
        <w:sz w:val="28"/>
        <w:szCs w:val="28"/>
      </w:rPr>
    </w:sdtEndPr>
    <w:sdtContent>
      <w:p w:rsidR="002D49D4" w:rsidRPr="002D49D4" w:rsidRDefault="002D49D4">
        <w:pPr>
          <w:pStyle w:val="a5"/>
          <w:jc w:val="right"/>
          <w:rPr>
            <w:rFonts w:asciiTheme="minorEastAsia" w:eastAsiaTheme="minorEastAsia" w:hAnsiTheme="minorEastAsia"/>
            <w:sz w:val="28"/>
            <w:szCs w:val="28"/>
          </w:rPr>
        </w:pPr>
        <w:r w:rsidRPr="002D49D4">
          <w:rPr>
            <w:rFonts w:asciiTheme="minorEastAsia" w:eastAsiaTheme="minorEastAsia" w:hAnsiTheme="minorEastAsia" w:hint="eastAsia"/>
            <w:sz w:val="28"/>
            <w:szCs w:val="28"/>
          </w:rPr>
          <w:t>－</w:t>
        </w:r>
        <w:r w:rsidRPr="002D49D4">
          <w:rPr>
            <w:rFonts w:asciiTheme="minorEastAsia" w:eastAsiaTheme="minorEastAsia" w:hAnsiTheme="minorEastAsia"/>
            <w:sz w:val="28"/>
            <w:szCs w:val="28"/>
          </w:rPr>
          <w:fldChar w:fldCharType="begin"/>
        </w:r>
        <w:r w:rsidRPr="002D49D4">
          <w:rPr>
            <w:rFonts w:asciiTheme="minorEastAsia" w:eastAsiaTheme="minorEastAsia" w:hAnsiTheme="minorEastAsia"/>
            <w:sz w:val="28"/>
            <w:szCs w:val="28"/>
          </w:rPr>
          <w:instrText>PAGE   \* MERGEFORMAT</w:instrText>
        </w:r>
        <w:r w:rsidRPr="002D49D4">
          <w:rPr>
            <w:rFonts w:asciiTheme="minorEastAsia" w:eastAsiaTheme="minorEastAsia" w:hAnsiTheme="minorEastAsia"/>
            <w:sz w:val="28"/>
            <w:szCs w:val="28"/>
          </w:rPr>
          <w:fldChar w:fldCharType="separate"/>
        </w:r>
        <w:r w:rsidRPr="002D49D4">
          <w:rPr>
            <w:rFonts w:asciiTheme="minorEastAsia" w:eastAsiaTheme="minorEastAsia" w:hAnsiTheme="minorEastAsia"/>
            <w:noProof/>
            <w:sz w:val="28"/>
            <w:szCs w:val="28"/>
            <w:lang w:val="zh-CN"/>
          </w:rPr>
          <w:t>3</w:t>
        </w:r>
        <w:r w:rsidRPr="002D49D4">
          <w:rPr>
            <w:rFonts w:asciiTheme="minorEastAsia" w:eastAsiaTheme="minorEastAsia" w:hAnsiTheme="minorEastAsia"/>
            <w:sz w:val="28"/>
            <w:szCs w:val="28"/>
          </w:rPr>
          <w:fldChar w:fldCharType="end"/>
        </w:r>
        <w:r w:rsidRPr="002D49D4">
          <w:rPr>
            <w:rFonts w:asciiTheme="minorEastAsia" w:eastAsiaTheme="minorEastAsia" w:hAnsiTheme="minorEastAsia" w:hint="eastAsia"/>
            <w:sz w:val="28"/>
            <w:szCs w:val="28"/>
          </w:rPr>
          <w:t>－</w:t>
        </w:r>
      </w:p>
    </w:sdtContent>
  </w:sdt>
  <w:p w:rsidR="002D49D4" w:rsidRDefault="002D49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1B8" w:rsidRDefault="00CF01B8" w:rsidP="002D49D4">
      <w:r>
        <w:separator/>
      </w:r>
    </w:p>
  </w:footnote>
  <w:footnote w:type="continuationSeparator" w:id="0">
    <w:p w:rsidR="00CF01B8" w:rsidRDefault="00CF01B8" w:rsidP="002D4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evenAndOddHeaders/>
  <w:drawingGridHorizontalSpacing w:val="96"/>
  <w:drawingGridVerticalSpacing w:val="3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3A"/>
    <w:rsid w:val="0011017B"/>
    <w:rsid w:val="002D49D4"/>
    <w:rsid w:val="0038603A"/>
    <w:rsid w:val="00487AC9"/>
    <w:rsid w:val="005E4811"/>
    <w:rsid w:val="007D161C"/>
    <w:rsid w:val="008235F9"/>
    <w:rsid w:val="00C469DE"/>
    <w:rsid w:val="00CB7BEF"/>
    <w:rsid w:val="00CF01B8"/>
    <w:rsid w:val="00E4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76B39-91AA-4E5B-A868-985883B0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03A"/>
    <w:pPr>
      <w:widowControl w:val="0"/>
      <w:jc w:val="both"/>
    </w:pPr>
    <w:rPr>
      <w:rFonts w:ascii="Times New Roman" w:eastAsia="宋体" w:hAnsi="Times New Roman" w:cs="Times New Roman"/>
      <w:color w:val="aut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D49D4"/>
    <w:pPr>
      <w:ind w:leftChars="2500" w:left="100"/>
    </w:pPr>
  </w:style>
  <w:style w:type="character" w:customStyle="1" w:styleId="Char">
    <w:name w:val="日期 Char"/>
    <w:basedOn w:val="a0"/>
    <w:link w:val="a3"/>
    <w:uiPriority w:val="99"/>
    <w:semiHidden/>
    <w:rsid w:val="002D49D4"/>
    <w:rPr>
      <w:rFonts w:ascii="Times New Roman" w:eastAsia="宋体" w:hAnsi="Times New Roman" w:cs="Times New Roman"/>
      <w:color w:val="auto"/>
      <w:kern w:val="2"/>
      <w:sz w:val="21"/>
      <w:szCs w:val="24"/>
    </w:rPr>
  </w:style>
  <w:style w:type="paragraph" w:styleId="a4">
    <w:name w:val="header"/>
    <w:basedOn w:val="a"/>
    <w:link w:val="Char0"/>
    <w:uiPriority w:val="99"/>
    <w:unhideWhenUsed/>
    <w:rsid w:val="002D49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D49D4"/>
    <w:rPr>
      <w:rFonts w:ascii="Times New Roman" w:eastAsia="宋体" w:hAnsi="Times New Roman" w:cs="Times New Roman"/>
      <w:color w:val="auto"/>
      <w:kern w:val="2"/>
      <w:sz w:val="18"/>
      <w:szCs w:val="18"/>
    </w:rPr>
  </w:style>
  <w:style w:type="paragraph" w:styleId="a5">
    <w:name w:val="footer"/>
    <w:basedOn w:val="a"/>
    <w:link w:val="Char1"/>
    <w:uiPriority w:val="99"/>
    <w:unhideWhenUsed/>
    <w:rsid w:val="002D49D4"/>
    <w:pPr>
      <w:tabs>
        <w:tab w:val="center" w:pos="4153"/>
        <w:tab w:val="right" w:pos="8306"/>
      </w:tabs>
      <w:snapToGrid w:val="0"/>
      <w:jc w:val="left"/>
    </w:pPr>
    <w:rPr>
      <w:sz w:val="18"/>
      <w:szCs w:val="18"/>
    </w:rPr>
  </w:style>
  <w:style w:type="character" w:customStyle="1" w:styleId="Char1">
    <w:name w:val="页脚 Char"/>
    <w:basedOn w:val="a0"/>
    <w:link w:val="a5"/>
    <w:uiPriority w:val="99"/>
    <w:rsid w:val="002D49D4"/>
    <w:rPr>
      <w:rFonts w:ascii="Times New Roman" w:eastAsia="宋体" w:hAnsi="Times New Roman" w:cs="Times New Roman"/>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489</Words>
  <Characters>2791</Characters>
  <Application>Microsoft Office Word</Application>
  <DocSecurity>0</DocSecurity>
  <Lines>23</Lines>
  <Paragraphs>6</Paragraphs>
  <ScaleCrop>false</ScaleCrop>
  <Company>Microsoft</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10104</dc:creator>
  <cp:keywords/>
  <dc:description/>
  <cp:lastModifiedBy>10104</cp:lastModifiedBy>
  <cp:revision>2</cp:revision>
  <cp:lastPrinted>2018-04-19T08:49:00Z</cp:lastPrinted>
  <dcterms:created xsi:type="dcterms:W3CDTF">2018-04-19T07:58:00Z</dcterms:created>
  <dcterms:modified xsi:type="dcterms:W3CDTF">2018-04-19T08:50:00Z</dcterms:modified>
</cp:coreProperties>
</file>